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a_1787092697.xml.htm"/>
      <w:bookmarkStart w:id="1" w:name="kswkform3a_178709269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Jolly Diya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 CASTILIAN DR</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BARBARA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93117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06/29/2026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APPFOLIO INC</w:t>
              </w:r>
            </w:hyperlink>
            <w:r>
              <w:rPr/>
              <w:t xml:space="preserve"> [ </w:t>
            </w:r>
            <w:r>
              <w:rPr>
                <w:rFonts w:ascii="Times;serif" w:hAnsi="Times;serif"/>
                <w:color w:val="0000FF"/>
                <w:sz w:val="24"/>
                <w:shd w:fill="FFFFFF" w:val="clear"/>
              </w:rPr>
              <w:t>APPF</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07/01/2026</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3/A amends the Form 3 filed on July 1, 2026, which reported Ms. Jolly's initial beneficial ownership using the Issuer's CIK number. This Form 3/A has been filed using Ms. Jolly's CIK codes and reflects her as the Reporting Owner. No changes have been made or are being reported with respect to Ms. Jolly's beneficial ownership of Issuer securities.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Heather Peterson, as Attorney-in-Fact for Diya Jolly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jollypoa.htm"/>
      <w:bookmarkStart w:id="3" w:name="ksjollypoa"/>
      <w:bookmarkEnd w:id="2"/>
      <w:bookmarkEnd w:id="3"/>
      <w:r>
        <w:rPr/>
        <w:drawing>
          <wp:inline distT="0" distB="0" distL="0" distR="0">
            <wp:extent cx="999172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999172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9345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99345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08751" TargetMode="External"/><Relationship Id="rId3" Type="http://schemas.openxmlformats.org/officeDocument/2006/relationships/hyperlink" Target="http://www.sec.gov/cgi-bin/browse-edgar?action=getcompany&amp;CIK=000143319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452</Words>
  <Characters>2482</Characters>
  <CharactersWithSpaces>2893</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jollypoa</dc:title>
</cp:coreProperties>
</file>