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7093446.xml.htm"/>
      <w:bookmarkStart w:id="1" w:name="kswkform4a_17870934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Jolly Diya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 CASTILIAN DR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BARBARA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93117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APPFOLIO INC</w:t>
              </w:r>
            </w:hyperlink>
            <w:r>
              <w:rPr/>
              <w:t xml:space="preserve"> [ </w:t>
            </w:r>
            <w:r>
              <w:rPr>
                <w:rFonts w:ascii="Times;serif" w:hAnsi="Times;serif"/>
                <w:color w:val="0000FF"/>
                <w:sz w:val="24"/>
                <w:shd w:fill="FFFFFF" w:val="clear"/>
              </w:rPr>
              <w:t>APPF</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07/01/2026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1,568</w:t>
            </w:r>
            <w:r>
              <w:rPr>
                <w:rFonts w:ascii="Times;serif" w:hAnsi="Times;serif"/>
                <w:color w:val="008000"/>
                <w:position w:val="7"/>
                <w:sz w:val="16"/>
                <w:sz w:val="20"/>
                <w:shd w:fill="FFFFFF" w:val="clear"/>
              </w:rPr>
              <w:t>(2)</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2,217</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pro-rated annual director grant of time-based restricted stock units ("RSUs") under the 2025 Omnibus Incentive Plan, with such annual grant prorated based on service from June 29, 2026. The RSUs vest 100% on the first anniversary of the date of grant.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a new director grant of time-based RSUs under the 2025 Omnibus Incentive Plan. The RSUs vest 100% on the first anniversary of the date of grant.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amends the Form 4 filed on July 1, 2026, which reported Ms. Jolly's June 29, 2026 RSU grant using the Issuer's CIK number. This Form 4/A has been filed using Ms. Jolly's CIK codes and reflects her as the Reporting Owner. No changes have been made or are being reported with respect to Ms. Jolly's beneficial ownership of Issuer securities.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Heather Peterson, as Attorney-in-Fact for Diya Jolly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751" TargetMode="External"/><Relationship Id="rId5" Type="http://schemas.openxmlformats.org/officeDocument/2006/relationships/hyperlink" Target="http://www.sec.gov/cgi-bin/browse-edgar?action=getcompany&amp;CIK=00014331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3762</Characters>
  <CharactersWithSpaces>4397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